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94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77"/>
        <w:gridCol w:w="2701"/>
        <w:gridCol w:w="711"/>
        <w:gridCol w:w="1547"/>
        <w:gridCol w:w="1758"/>
      </w:tblGrid>
      <w:tr>
        <w:tblPrEx>
          <w:shd w:val="clear" w:color="auto" w:fill="00a2ff"/>
        </w:tblPrEx>
        <w:trPr>
          <w:trHeight w:val="315" w:hRule="atLeast"/>
          <w:tblHeader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42" w:hRule="atLeast"/>
        </w:trPr>
        <w:tc>
          <w:tcPr>
            <w:tcW w:type="dxa" w:w="24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Professional Service Fee</w:t>
            </w:r>
          </w:p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Includes use of all consumables, equipment, filing of legal paperwork and more. This is a set fee for our service, regardless of burial/cremation or if a funeral held. Includes 2 nights in cool room.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$2600.</w:t>
            </w:r>
          </w:p>
        </w:tc>
        <w:tc>
          <w:tcPr>
            <w:tcW w:type="dxa" w:w="17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41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 xml:space="preserve">Compassionate care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Care and preparation of the deceased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body, at our premises or at yours. Includes washing, dressing, </w:t>
            </w:r>
            <w:r>
              <w:rPr>
                <w:rFonts w:ascii="Arial Unicode MS" w:hAnsi="Arial Unicode MS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laying out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for viewing, make up if required.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Pacemaker removal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When required for cremation.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$110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Viewing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provide private viewings at our premises.  We can also do viewings in the home.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One Included in service fee, more can be arranged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Care of the deceased: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Cool Room 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or: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Home support- when possible.  Each case varies.  We will discuss this with you and make a conservative decision.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Safe and secure, purpose built cool room. Alarmed and monitored. Eliminates the need for embalming in most situations.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support you to have the deceased in home until the time of the funeral using ice packs and a small freezer.  The icepacks do not have much condensation as they are a special design.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Embalming- POA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$85 per night,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Charged on third night (first               2 included)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 for home support covers ice pack/freezer costs and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transport 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60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Transfer and transport of the deceased into our care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Collection and transport of the deceased, collecting the Medical Cause forms, arranging the permission to cremate forms from the Doctor/Police or St John, if required. Obtaining all paperwork required.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Motueka Greenwood Health charges for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Cremation        paperwork $160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14.2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15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Within 30km of Takaka Township   $175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Beyond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Collingwood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$275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Motueka       $350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Nelson.           $700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Social Media Announcements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design a facebook announcement and help to promote the funeral if desired.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post to the GB Community Noticeboard page and on our Matuku Funerals page. 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Included in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service fee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3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Newspaper Notices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Golden Bay Weekly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Nelson Mail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 will arrange newspaper announcements and obituary notices free of charge as part of our professional services. 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Follow up notices, just double the price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Average price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GB Weekly $60-80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Nelson Mail $80-$180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Notice prices vary between papers.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Notification of Death and ordering the death certificate from BDM.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We will take care of all legal paperwork and deliver the death certificate to you with JP copies. It is possible to order more if you require.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$33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Casket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but there are many options, based on cremation or burial.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See catalog on webpage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If using own casket, must be suitable to pall bear/cremate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Prices vary from $2750 for local recycled rimu,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to direct to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cremation coffins for $450-$550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Natural burial Shroud,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Community coffin use, and bier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Anyone can hire the community coffin, but it requires a bier. 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Burial in a Shroud (many types and possible to make own)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</w:t>
            </w:r>
            <w:r>
              <w:rPr>
                <w:shd w:val="nil" w:color="auto" w:fill="auto"/>
                <w:rtl w:val="0"/>
                <w:lang w:val="en-US"/>
              </w:rPr>
              <w:t>425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76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Cremation Fees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Wakapuaka standard fee adult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After hours or Saturday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Sunday or Public Holiday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Oversize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$1</w:t>
            </w:r>
            <w:r>
              <w:rPr>
                <w:shd w:val="nil" w:color="auto" w:fill="auto"/>
                <w:rtl w:val="0"/>
                <w:lang w:val="en-US"/>
              </w:rPr>
              <w:t>057.30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+$2</w:t>
            </w:r>
            <w:r>
              <w:rPr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+$5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$13</w:t>
            </w:r>
            <w:r>
              <w:rPr>
                <w:shd w:val="nil" w:color="auto" w:fill="auto"/>
                <w:rtl w:val="0"/>
                <w:lang w:val="en-US"/>
              </w:rPr>
              <w:t>76.50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Transport for cremation and return of ashes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It usually takes several days before we can return the ashes to you. We will keep you notified of what is happening.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$700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Ash Urns</w:t>
            </w: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rPr>
                <w:shd w:val="nil" w:color="auto" w:fill="auto"/>
                <w:lang w:val="en-US"/>
              </w:rPr>
            </w:pP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* Name Plaque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Ashes come in a cardboard box back from the crematorium, wrapped and labelled.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transfer ashes into an urn of your choice, and we do have some for sale.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Engraving costs vary a bit.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$0 cardboard 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$160 sprinkle tube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$210 local Rimu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$450 for double Rimu urn (holds ashes for two)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$40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Ashes interment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what you select, info on TDC website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Price for plot and dig.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101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</w:t>
            </w:r>
            <w:r>
              <w:rPr>
                <w:shd w:val="nil" w:color="auto" w:fill="auto"/>
                <w:rtl w:val="0"/>
                <w:lang w:val="en-US"/>
              </w:rPr>
              <w:t>975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</w:t>
            </w:r>
            <w:r>
              <w:rPr>
                <w:shd w:val="nil" w:color="auto" w:fill="auto"/>
                <w:rtl w:val="0"/>
                <w:lang w:val="en-US"/>
              </w:rPr>
              <w:t xml:space="preserve">Hire at </w:t>
            </w:r>
            <w:r>
              <w:rPr>
                <w:shd w:val="nil" w:color="auto" w:fill="auto"/>
                <w:rtl w:val="0"/>
                <w:lang w:val="en-US"/>
              </w:rPr>
              <w:t>Crematorium Chapel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Price on enquiry and availability. (30 minutes to 2 hrs)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$101.70 to 503.50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Funeral or memorial service Crafting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Includes funeral directing,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Design of service sheets,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assisting family to select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music/photos/speakers, etc. Venue set up, PA system,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music/audio visual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projector and screen if required, liaison with catering and venue. Staff in attendance.  Setting up a hired marquee is an additional cost, POA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Cleaning after service, at an additional cost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are happy to work alongside clergy or a your chosen</w:t>
            </w:r>
            <w:r>
              <w:rPr>
                <w:shd w:val="nil" w:color="auto" w:fill="auto"/>
                <w:rtl w:val="0"/>
                <w:lang w:val="it-IT"/>
              </w:rPr>
              <w:t xml:space="preserve"> celebrant.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Weekend/public Holiday Fee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$1650 -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$1950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(Depending on number of staff, location changes)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+ $350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Hearse and driver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1994 </w:t>
            </w:r>
            <w:r>
              <w:rPr>
                <w:shd w:val="nil" w:color="auto" w:fill="auto"/>
                <w:rtl w:val="0"/>
                <w:lang w:val="es-ES_tradnl"/>
              </w:rPr>
              <w:t>Cadillac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$300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9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Hire of chairs or Gazebo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Matuku has 38 chairs, available for funerals and graveside</w:t>
            </w:r>
            <w:r>
              <w:rPr>
                <w:shd w:val="nil" w:color="auto" w:fill="auto"/>
                <w:rtl w:val="0"/>
                <w:lang w:val="en-US"/>
              </w:rPr>
              <w:t xml:space="preserve"> free set up with funeral crafting.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Gazebo set up/hire additional -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Flowers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 xml:space="preserve">You set the budget.  We have skilled florists that can make a coffin spray or appropriate floral tribute, $250 buys an impressive coffin spray.  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Your budget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Organist/Musician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Photographer</w:t>
            </w:r>
          </w:p>
          <w:p>
            <w:pPr>
              <w:pStyle w:val="Table Style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Videographer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Depends on requirements, but we can recommend professionals for an additional cost. They can all add special touch.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For those with family overseas,  We can take video and photos on request or livestream,   of reasonable quality. 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Film</w:t>
            </w:r>
          </w:p>
          <w:p>
            <w:pPr>
              <w:pStyle w:val="Table Style 2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Live Stream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We will obtain a quote on your behalf.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$100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$250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Memorial book for guests to write in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We have a few to choose from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33.5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$35-$50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Burial at a TDC cemetery, including natural burial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Plot fee for Adult $ </w:t>
            </w:r>
            <w:r>
              <w:rPr>
                <w:shd w:val="nil" w:color="auto" w:fill="auto"/>
                <w:rtl w:val="0"/>
                <w:lang w:val="en-US"/>
              </w:rPr>
              <w:t>2035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Natural Plot $</w:t>
            </w:r>
            <w:r>
              <w:rPr>
                <w:shd w:val="nil" w:color="auto" w:fill="auto"/>
                <w:rtl w:val="0"/>
                <w:lang w:val="en-US"/>
              </w:rPr>
              <w:t>2035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Interment fee Adult $</w:t>
            </w:r>
            <w:r>
              <w:rPr>
                <w:shd w:val="nil" w:color="auto" w:fill="auto"/>
                <w:rtl w:val="0"/>
                <w:lang w:val="en-US"/>
              </w:rPr>
              <w:t>1200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as per TDC website, extra charges for Saturday, Sunday and public holidays + OS Plot.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102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$</w:t>
            </w:r>
            <w:r>
              <w:rPr>
                <w:shd w:val="nil" w:color="auto" w:fill="auto"/>
                <w:rtl w:val="0"/>
                <w:lang w:val="en-US"/>
              </w:rPr>
              <w:t>2035 plot +</w:t>
            </w:r>
          </w:p>
          <w:p>
            <w:pPr>
              <w:pStyle w:val="Table Style 2"/>
              <w:jc w:val="center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1200 to dig grave= $3235</w:t>
            </w:r>
          </w:p>
          <w:p>
            <w:pPr>
              <w:pStyle w:val="Table Style 2"/>
              <w:jc w:val="center"/>
              <w:rPr>
                <w:shd w:val="nil" w:color="auto" w:fill="auto"/>
              </w:rPr>
            </w:pP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Late funeral rates may apply for TDC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3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Professional celebrant services by Laura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Diploma of celebrant studies and CANZ celebrant, and Minister. Secular or religious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ceremonies, family preference.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$550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* Catering for funeral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There are many local providers that we are happy to work with. Approx $2</w:t>
            </w:r>
            <w:r>
              <w:rPr>
                <w:shd w:val="nil" w:color="auto" w:fill="auto"/>
                <w:rtl w:val="0"/>
                <w:lang w:val="en-US"/>
              </w:rPr>
              <w:t>0</w:t>
            </w:r>
            <w:r>
              <w:rPr>
                <w:shd w:val="nil" w:color="auto" w:fill="auto"/>
                <w:rtl w:val="0"/>
                <w:lang w:val="en-US"/>
              </w:rPr>
              <w:t>pp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9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* Headstone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2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Temporary grave marker placard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White cross or T  and plastic Engraved costs included.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$150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2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Hall Hire 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Prices vary around the Bay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TBA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56" w:hRule="atLeast"/>
        </w:trPr>
        <w:tc>
          <w:tcPr>
            <w:tcW w:type="dxa" w:w="24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Printing - Service Sheets/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Bookmarkers</w:t>
            </w:r>
          </w:p>
        </w:tc>
        <w:tc>
          <w:tcPr>
            <w:tcW w:type="dxa" w:w="270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Actual cost of printing - approx. $1.40 ea + preparation/folding fee of $30</w:t>
            </w:r>
          </w:p>
          <w:p>
            <w:pPr>
              <w:pStyle w:val="Body A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Lyric inserts may cost more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11.5</w:t>
            </w:r>
          </w:p>
        </w:tc>
        <w:tc>
          <w:tcPr>
            <w:tcW w:type="dxa" w:w="15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About $2 ea.</w:t>
            </w:r>
          </w:p>
        </w:tc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24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TOTAL ESTIMATED COST- </w:t>
            </w:r>
          </w:p>
        </w:tc>
        <w:tc>
          <w:tcPr>
            <w:tcW w:type="dxa" w:w="710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8"/>
            <w:tcBorders>
              <w:top w:val="single" w:color="000000" w:sz="1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 xml:space="preserve">$ </w:t>
            </w:r>
          </w:p>
        </w:tc>
      </w:tr>
    </w:tbl>
    <w:p>
      <w:pPr>
        <w:pStyle w:val="Body"/>
        <w:widowControl w:val="0"/>
        <w:ind w:left="432" w:hanging="432"/>
      </w:pPr>
    </w:p>
    <w:p>
      <w:pPr>
        <w:pStyle w:val="Body B"/>
        <w:widowControl w:val="0"/>
        <w:ind w:left="324" w:hanging="324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jc w:val="center"/>
    </w:pPr>
    <w:r>
      <w:rPr>
        <w:rtl w:val="0"/>
        <w:lang w:val="en-US"/>
      </w:rPr>
      <w:t xml:space="preserve">Matuku Funerals price list from </w:t>
    </w:r>
    <w:r>
      <w:rPr>
        <w:rtl w:val="0"/>
      </w:rPr>
      <w:t>July 2025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